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B629" w14:textId="77777777" w:rsidR="00DF07BC" w:rsidRDefault="0040388F" w:rsidP="0040388F">
      <w:pPr>
        <w:jc w:val="center"/>
        <w:rPr>
          <w:b/>
        </w:rPr>
      </w:pPr>
      <w:r w:rsidRPr="0040388F">
        <w:rPr>
          <w:b/>
        </w:rPr>
        <w:t>Letter of Undertaking</w:t>
      </w:r>
    </w:p>
    <w:p w14:paraId="1DED2C79" w14:textId="77777777" w:rsidR="0040388F" w:rsidRDefault="0040388F" w:rsidP="0040388F">
      <w:pPr>
        <w:jc w:val="both"/>
        <w:rPr>
          <w:b/>
        </w:rPr>
      </w:pPr>
    </w:p>
    <w:p w14:paraId="2ECFCED0" w14:textId="77777777" w:rsidR="0040388F" w:rsidRDefault="0040388F" w:rsidP="0040388F">
      <w:pPr>
        <w:jc w:val="both"/>
        <w:rPr>
          <w:b/>
        </w:rPr>
      </w:pPr>
    </w:p>
    <w:p w14:paraId="753DC585" w14:textId="6923DD3E" w:rsidR="0040388F" w:rsidRDefault="0040388F" w:rsidP="0040388F">
      <w:pPr>
        <w:jc w:val="both"/>
      </w:pPr>
      <w:r>
        <w:t>I</w:t>
      </w:r>
      <w:r w:rsidR="0040462A">
        <w:t xml:space="preserve">, </w:t>
      </w:r>
      <w:sdt>
        <w:sdtPr>
          <w:rPr>
            <w:highlight w:val="lightGray"/>
            <w:u w:val="single"/>
          </w:rPr>
          <w:id w:val="-1668708305"/>
          <w:placeholder>
            <w:docPart w:val="DefaultPlaceholder_1082065158"/>
          </w:placeholder>
          <w:text/>
        </w:sdtPr>
        <w:sdtContent>
          <w:r w:rsidR="0040462A" w:rsidRPr="001E4BE1">
            <w:rPr>
              <w:highlight w:val="lightGray"/>
              <w:u w:val="single"/>
            </w:rPr>
            <w:t>&lt;NAME OF PRINCIPAL INVESTIGATOR&gt;</w:t>
          </w:r>
        </w:sdtContent>
      </w:sdt>
      <w:r w:rsidRPr="0040462A">
        <w:t>,</w:t>
      </w:r>
      <w:r>
        <w:t xml:space="preserve"> principal investigator of the study entitled </w:t>
      </w:r>
      <w:sdt>
        <w:sdtPr>
          <w:rPr>
            <w:highlight w:val="lightGray"/>
            <w:u w:val="single"/>
          </w:rPr>
          <w:id w:val="1088578831"/>
          <w:placeholder>
            <w:docPart w:val="DefaultPlaceholder_1082065158"/>
          </w:placeholder>
          <w:text/>
        </w:sdtPr>
        <w:sdtContent>
          <w:r w:rsidR="0040462A" w:rsidRPr="001E4BE1">
            <w:rPr>
              <w:highlight w:val="lightGray"/>
              <w:u w:val="single"/>
            </w:rPr>
            <w:t>&lt;TITLE OF PROTOCOL&gt;</w:t>
          </w:r>
        </w:sdtContent>
      </w:sdt>
      <w:r>
        <w:t xml:space="preserve"> with site at </w:t>
      </w:r>
      <w:sdt>
        <w:sdtPr>
          <w:rPr>
            <w:highlight w:val="lightGray"/>
            <w:u w:val="single"/>
          </w:rPr>
          <w:id w:val="1277756997"/>
          <w:placeholder>
            <w:docPart w:val="DefaultPlaceholder_1082065158"/>
          </w:placeholder>
          <w:text/>
        </w:sdtPr>
        <w:sdtContent>
          <w:r w:rsidR="0040462A" w:rsidRPr="001E4BE1">
            <w:rPr>
              <w:highlight w:val="lightGray"/>
              <w:u w:val="single"/>
            </w:rPr>
            <w:t>&lt;CLINIC/HOSPITAL&gt;</w:t>
          </w:r>
        </w:sdtContent>
      </w:sdt>
      <w:r w:rsidR="0040462A" w:rsidRPr="0040462A">
        <w:t>,</w:t>
      </w:r>
      <w:r w:rsidR="0040462A">
        <w:t xml:space="preserve"> </w:t>
      </w:r>
      <w:r>
        <w:t>request</w:t>
      </w:r>
      <w:r w:rsidRPr="0040388F">
        <w:t xml:space="preserve"> the review of </w:t>
      </w:r>
      <w:r w:rsidR="003311E5">
        <w:t>Peregrine Eye and Laser Institute – Institutional Review Board (PELI-IRB)</w:t>
      </w:r>
      <w:r w:rsidRPr="0040388F">
        <w:t xml:space="preserve"> and </w:t>
      </w:r>
      <w:r w:rsidR="0040462A" w:rsidRPr="0040388F">
        <w:t>agree</w:t>
      </w:r>
      <w:r w:rsidRPr="0040388F">
        <w:t xml:space="preserve"> to abide by the rules and regulations that the PELI-IRB follows</w:t>
      </w:r>
      <w:r w:rsidR="003311E5">
        <w:t xml:space="preserve"> as stated in the excerpt of </w:t>
      </w:r>
      <w:r w:rsidR="003B0E32">
        <w:t>PELI-IRB Ethical Framework and Constitution of the IRB</w:t>
      </w:r>
      <w:r w:rsidR="003311E5">
        <w:t>:</w:t>
      </w:r>
      <w:r w:rsidRPr="0040388F">
        <w:t xml:space="preserve"> </w:t>
      </w:r>
    </w:p>
    <w:p w14:paraId="5DCF75DA" w14:textId="77777777" w:rsidR="003311E5" w:rsidRDefault="003311E5" w:rsidP="0040388F">
      <w:pPr>
        <w:jc w:val="both"/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0575"/>
      </w:tblGrid>
      <w:tr w:rsidR="003B0E32" w:rsidRPr="007772CE" w14:paraId="5AAA4125" w14:textId="77777777" w:rsidTr="007772CE">
        <w:tc>
          <w:tcPr>
            <w:tcW w:w="10575" w:type="dxa"/>
            <w:shd w:val="clear" w:color="auto" w:fill="DDD9C3" w:themeFill="background2" w:themeFillShade="E6"/>
          </w:tcPr>
          <w:p w14:paraId="7AE913D1" w14:textId="5BDBCB93" w:rsidR="003B0E32" w:rsidRPr="007772CE" w:rsidRDefault="003B0E32" w:rsidP="003B0E32">
            <w:pPr>
              <w:tabs>
                <w:tab w:val="left" w:pos="9612"/>
              </w:tabs>
              <w:ind w:left="720" w:right="297"/>
              <w:jc w:val="both"/>
              <w:rPr>
                <w:bCs/>
              </w:rPr>
            </w:pPr>
          </w:p>
        </w:tc>
      </w:tr>
      <w:tr w:rsidR="003B0E32" w:rsidRPr="007772CE" w14:paraId="0DBBC6D4" w14:textId="77777777" w:rsidTr="007772CE">
        <w:tc>
          <w:tcPr>
            <w:tcW w:w="10575" w:type="dxa"/>
            <w:shd w:val="clear" w:color="auto" w:fill="DDD9C3" w:themeFill="background2" w:themeFillShade="E6"/>
          </w:tcPr>
          <w:p w14:paraId="5CB5034A" w14:textId="77777777" w:rsidR="003B0E32" w:rsidRDefault="003B0E32" w:rsidP="003B0E32">
            <w:pPr>
              <w:tabs>
                <w:tab w:val="left" w:pos="9612"/>
              </w:tabs>
              <w:ind w:right="297"/>
              <w:jc w:val="both"/>
              <w:rPr>
                <w:b/>
                <w:bCs/>
                <w:sz w:val="23"/>
                <w:szCs w:val="23"/>
              </w:rPr>
            </w:pPr>
            <w:r w:rsidRPr="00390C4A">
              <w:rPr>
                <w:b/>
                <w:bCs/>
                <w:sz w:val="23"/>
                <w:szCs w:val="23"/>
              </w:rPr>
              <w:t xml:space="preserve">Ethical Basis </w:t>
            </w:r>
          </w:p>
          <w:p w14:paraId="50920AF9" w14:textId="7EAA0CAB" w:rsidR="003B0E32" w:rsidRPr="007772CE" w:rsidRDefault="003B0E32" w:rsidP="003B0E32">
            <w:pPr>
              <w:tabs>
                <w:tab w:val="left" w:pos="9612"/>
              </w:tabs>
              <w:ind w:right="297"/>
              <w:jc w:val="both"/>
              <w:rPr>
                <w:bCs/>
              </w:rPr>
            </w:pPr>
            <w:r w:rsidRPr="00390C4A">
              <w:rPr>
                <w:sz w:val="23"/>
                <w:szCs w:val="23"/>
              </w:rPr>
              <w:t xml:space="preserve">1.1 The PELI-IRB is guided in its reflection, advice, and decision by the ethical principles and procedures expressed in the following international policies, guidelines and documents: </w:t>
            </w:r>
          </w:p>
        </w:tc>
      </w:tr>
      <w:tr w:rsidR="003B0E32" w:rsidRPr="007772CE" w14:paraId="3ABBDE87" w14:textId="77777777" w:rsidTr="007772CE">
        <w:tc>
          <w:tcPr>
            <w:tcW w:w="10575" w:type="dxa"/>
            <w:shd w:val="clear" w:color="auto" w:fill="DDD9C3" w:themeFill="background2" w:themeFillShade="E6"/>
          </w:tcPr>
          <w:p w14:paraId="77C77AB8" w14:textId="67EE03F6" w:rsidR="003B0E32" w:rsidRPr="007772CE" w:rsidRDefault="003B0E32" w:rsidP="003B0E32">
            <w:pPr>
              <w:numPr>
                <w:ilvl w:val="0"/>
                <w:numId w:val="5"/>
              </w:numPr>
              <w:tabs>
                <w:tab w:val="left" w:pos="9612"/>
              </w:tabs>
              <w:ind w:right="297" w:hanging="630"/>
              <w:jc w:val="both"/>
              <w:rPr>
                <w:bCs/>
              </w:rPr>
            </w:pPr>
            <w:r w:rsidRPr="00390C4A">
              <w:rPr>
                <w:sz w:val="23"/>
                <w:szCs w:val="23"/>
              </w:rPr>
              <w:t xml:space="preserve">a. Declaration of Helsinki 2008 and subsequent revision </w:t>
            </w:r>
          </w:p>
        </w:tc>
      </w:tr>
      <w:tr w:rsidR="003B0E32" w:rsidRPr="007772CE" w14:paraId="517B42CF" w14:textId="77777777" w:rsidTr="007772CE">
        <w:tc>
          <w:tcPr>
            <w:tcW w:w="10575" w:type="dxa"/>
            <w:shd w:val="clear" w:color="auto" w:fill="DDD9C3" w:themeFill="background2" w:themeFillShade="E6"/>
          </w:tcPr>
          <w:p w14:paraId="5454BA48" w14:textId="714DC068" w:rsidR="003B0E32" w:rsidRPr="007772CE" w:rsidRDefault="003B0E32" w:rsidP="003B0E32">
            <w:pPr>
              <w:numPr>
                <w:ilvl w:val="0"/>
                <w:numId w:val="5"/>
              </w:numPr>
              <w:tabs>
                <w:tab w:val="left" w:pos="9612"/>
              </w:tabs>
              <w:ind w:right="297" w:hanging="630"/>
              <w:jc w:val="both"/>
              <w:rPr>
                <w:bCs/>
              </w:rPr>
            </w:pPr>
            <w:r w:rsidRPr="00390C4A">
              <w:rPr>
                <w:sz w:val="23"/>
                <w:szCs w:val="23"/>
              </w:rPr>
              <w:t xml:space="preserve">b. CIOMS 2002, 2009 and subsequent revisions </w:t>
            </w:r>
          </w:p>
        </w:tc>
      </w:tr>
      <w:tr w:rsidR="003B0E32" w:rsidRPr="007772CE" w14:paraId="33B8F065" w14:textId="77777777" w:rsidTr="007772CE">
        <w:tc>
          <w:tcPr>
            <w:tcW w:w="10575" w:type="dxa"/>
            <w:shd w:val="clear" w:color="auto" w:fill="DDD9C3" w:themeFill="background2" w:themeFillShade="E6"/>
          </w:tcPr>
          <w:p w14:paraId="00BED333" w14:textId="4FC09365" w:rsidR="003B0E32" w:rsidRPr="007772CE" w:rsidRDefault="003B0E32" w:rsidP="003B0E32">
            <w:pPr>
              <w:tabs>
                <w:tab w:val="left" w:pos="9612"/>
              </w:tabs>
              <w:ind w:right="297"/>
              <w:jc w:val="both"/>
              <w:rPr>
                <w:bCs/>
              </w:rPr>
            </w:pPr>
            <w:r w:rsidRPr="00390C4A">
              <w:rPr>
                <w:sz w:val="23"/>
                <w:szCs w:val="23"/>
              </w:rPr>
              <w:t xml:space="preserve">1.2 The PELI-IRB will function in accordance with PHREB’s Policy for Specialty Clinics and other national laws, regulations, and guidelines. </w:t>
            </w:r>
          </w:p>
        </w:tc>
      </w:tr>
      <w:tr w:rsidR="003B0E32" w:rsidRPr="007772CE" w14:paraId="4D74E47B" w14:textId="77777777" w:rsidTr="007772CE">
        <w:tc>
          <w:tcPr>
            <w:tcW w:w="10575" w:type="dxa"/>
            <w:shd w:val="clear" w:color="auto" w:fill="DDD9C3" w:themeFill="background2" w:themeFillShade="E6"/>
          </w:tcPr>
          <w:p w14:paraId="58EB1441" w14:textId="12BED1F8" w:rsidR="003B0E32" w:rsidRPr="007772CE" w:rsidRDefault="003B0E32" w:rsidP="003B0E32">
            <w:pPr>
              <w:tabs>
                <w:tab w:val="left" w:pos="9612"/>
              </w:tabs>
              <w:ind w:right="297"/>
              <w:jc w:val="both"/>
              <w:rPr>
                <w:bCs/>
              </w:rPr>
            </w:pPr>
            <w:r w:rsidRPr="00390C4A">
              <w:rPr>
                <w:sz w:val="23"/>
                <w:szCs w:val="23"/>
              </w:rPr>
              <w:t xml:space="preserve">1.3 The PELI-IRB provides its own standard operating procedures based on: </w:t>
            </w:r>
          </w:p>
        </w:tc>
      </w:tr>
      <w:tr w:rsidR="003B0E32" w:rsidRPr="007772CE" w14:paraId="5448E6D7" w14:textId="77777777" w:rsidTr="007772CE">
        <w:tc>
          <w:tcPr>
            <w:tcW w:w="10575" w:type="dxa"/>
            <w:shd w:val="clear" w:color="auto" w:fill="DDD9C3" w:themeFill="background2" w:themeFillShade="E6"/>
          </w:tcPr>
          <w:p w14:paraId="186E2332" w14:textId="6D4950E3" w:rsidR="003B0E32" w:rsidRPr="007772CE" w:rsidRDefault="003B0E32" w:rsidP="003B0E32">
            <w:pPr>
              <w:numPr>
                <w:ilvl w:val="0"/>
                <w:numId w:val="4"/>
              </w:numPr>
              <w:tabs>
                <w:tab w:val="left" w:pos="9612"/>
              </w:tabs>
              <w:ind w:left="1080" w:right="297" w:hanging="630"/>
              <w:jc w:val="both"/>
              <w:rPr>
                <w:bCs/>
              </w:rPr>
            </w:pPr>
            <w:r w:rsidRPr="00390C4A">
              <w:rPr>
                <w:sz w:val="23"/>
                <w:szCs w:val="23"/>
              </w:rPr>
              <w:t xml:space="preserve">a. PHREB Committee on Standard and Accreditation Policies that also included the requirements for Specialty Clinics </w:t>
            </w:r>
          </w:p>
        </w:tc>
      </w:tr>
      <w:tr w:rsidR="003B0E32" w:rsidRPr="007772CE" w14:paraId="46965C43" w14:textId="77777777" w:rsidTr="007772CE">
        <w:tc>
          <w:tcPr>
            <w:tcW w:w="10575" w:type="dxa"/>
            <w:shd w:val="clear" w:color="auto" w:fill="DDD9C3" w:themeFill="background2" w:themeFillShade="E6"/>
          </w:tcPr>
          <w:p w14:paraId="0BCCB05B" w14:textId="100908C5" w:rsidR="003B0E32" w:rsidRPr="007772CE" w:rsidRDefault="003B0E32" w:rsidP="003B0E32">
            <w:pPr>
              <w:numPr>
                <w:ilvl w:val="0"/>
                <w:numId w:val="6"/>
              </w:numPr>
              <w:tabs>
                <w:tab w:val="left" w:pos="9612"/>
              </w:tabs>
              <w:ind w:left="1800" w:right="297" w:hanging="630"/>
              <w:jc w:val="both"/>
              <w:rPr>
                <w:bCs/>
              </w:rPr>
            </w:pPr>
            <w:r w:rsidRPr="00390C4A">
              <w:rPr>
                <w:sz w:val="23"/>
                <w:szCs w:val="23"/>
              </w:rPr>
              <w:t xml:space="preserve">b. Operational Guidelines for Ethics Committees That Review Biomedical Research (2011) by the World Health Organization </w:t>
            </w:r>
          </w:p>
        </w:tc>
      </w:tr>
      <w:tr w:rsidR="003B0E32" w:rsidRPr="007772CE" w14:paraId="6CE007BB" w14:textId="77777777" w:rsidTr="007772CE">
        <w:tc>
          <w:tcPr>
            <w:tcW w:w="10575" w:type="dxa"/>
            <w:shd w:val="clear" w:color="auto" w:fill="DDD9C3" w:themeFill="background2" w:themeFillShade="E6"/>
          </w:tcPr>
          <w:p w14:paraId="115E61F1" w14:textId="7B1EEF08" w:rsidR="003B0E32" w:rsidRPr="007772CE" w:rsidRDefault="003B0E32" w:rsidP="003B0E32">
            <w:pPr>
              <w:numPr>
                <w:ilvl w:val="0"/>
                <w:numId w:val="6"/>
              </w:numPr>
              <w:tabs>
                <w:tab w:val="left" w:pos="9612"/>
              </w:tabs>
              <w:ind w:left="1800" w:right="297" w:hanging="630"/>
              <w:jc w:val="both"/>
              <w:rPr>
                <w:bCs/>
              </w:rPr>
            </w:pPr>
            <w:r w:rsidRPr="00390C4A">
              <w:rPr>
                <w:sz w:val="23"/>
                <w:szCs w:val="23"/>
              </w:rPr>
              <w:t xml:space="preserve">c. Standards and Operational Guidance for Ethics Review of Health-Related Research with Human Participants (2011) by the World Health Organization </w:t>
            </w:r>
          </w:p>
        </w:tc>
      </w:tr>
      <w:tr w:rsidR="003B0E32" w:rsidRPr="007772CE" w14:paraId="2738FCB5" w14:textId="77777777" w:rsidTr="007772CE">
        <w:tc>
          <w:tcPr>
            <w:tcW w:w="10575" w:type="dxa"/>
            <w:shd w:val="clear" w:color="auto" w:fill="DDD9C3" w:themeFill="background2" w:themeFillShade="E6"/>
          </w:tcPr>
          <w:p w14:paraId="69957F13" w14:textId="5BF8A3D2" w:rsidR="003B0E32" w:rsidRPr="007772CE" w:rsidRDefault="003B0E32" w:rsidP="003B0E32">
            <w:pPr>
              <w:numPr>
                <w:ilvl w:val="0"/>
                <w:numId w:val="6"/>
              </w:numPr>
              <w:tabs>
                <w:tab w:val="left" w:pos="9612"/>
              </w:tabs>
              <w:ind w:left="1800" w:right="297" w:hanging="630"/>
              <w:jc w:val="both"/>
              <w:rPr>
                <w:bCs/>
              </w:rPr>
            </w:pPr>
            <w:r w:rsidRPr="00390C4A">
              <w:rPr>
                <w:sz w:val="23"/>
                <w:szCs w:val="23"/>
              </w:rPr>
              <w:t xml:space="preserve">d. International Conference on the Harmonization of Good Clinical Practice (ICH-GCP), ICH-GCP E6 (R2), 2017 </w:t>
            </w:r>
          </w:p>
        </w:tc>
      </w:tr>
      <w:tr w:rsidR="003B0E32" w:rsidRPr="007772CE" w14:paraId="450ABC33" w14:textId="77777777" w:rsidTr="007772CE">
        <w:tc>
          <w:tcPr>
            <w:tcW w:w="10575" w:type="dxa"/>
            <w:shd w:val="clear" w:color="auto" w:fill="DDD9C3" w:themeFill="background2" w:themeFillShade="E6"/>
          </w:tcPr>
          <w:p w14:paraId="50436872" w14:textId="71738DD5" w:rsidR="003B0E32" w:rsidRPr="007772CE" w:rsidRDefault="003B0E32" w:rsidP="003B0E32">
            <w:pPr>
              <w:numPr>
                <w:ilvl w:val="0"/>
                <w:numId w:val="6"/>
              </w:numPr>
              <w:tabs>
                <w:tab w:val="left" w:pos="9612"/>
              </w:tabs>
              <w:ind w:left="1800" w:right="297" w:hanging="630"/>
              <w:jc w:val="both"/>
              <w:rPr>
                <w:bCs/>
              </w:rPr>
            </w:pPr>
            <w:r w:rsidRPr="00390C4A">
              <w:rPr>
                <w:sz w:val="23"/>
                <w:szCs w:val="23"/>
              </w:rPr>
              <w:t xml:space="preserve">e. National Ethical Guidelines for Health Research (2012) by the Philippine Health Research Ethics Board (PHREB) </w:t>
            </w:r>
          </w:p>
        </w:tc>
      </w:tr>
      <w:tr w:rsidR="003B0E32" w:rsidRPr="007772CE" w14:paraId="612FB8B1" w14:textId="77777777" w:rsidTr="007772CE">
        <w:tc>
          <w:tcPr>
            <w:tcW w:w="10575" w:type="dxa"/>
            <w:shd w:val="clear" w:color="auto" w:fill="DDD9C3" w:themeFill="background2" w:themeFillShade="E6"/>
          </w:tcPr>
          <w:p w14:paraId="12B7EAC0" w14:textId="77777777" w:rsidR="003B0E32" w:rsidRPr="003B0E32" w:rsidRDefault="003B0E32" w:rsidP="003B0E32">
            <w:pPr>
              <w:numPr>
                <w:ilvl w:val="0"/>
                <w:numId w:val="6"/>
              </w:numPr>
              <w:tabs>
                <w:tab w:val="left" w:pos="9612"/>
              </w:tabs>
              <w:ind w:left="1800" w:right="297" w:hanging="630"/>
              <w:jc w:val="both"/>
              <w:rPr>
                <w:bCs/>
              </w:rPr>
            </w:pPr>
            <w:r w:rsidRPr="00390C4A">
              <w:rPr>
                <w:sz w:val="23"/>
                <w:szCs w:val="23"/>
              </w:rPr>
              <w:t xml:space="preserve">f. Philippine Food and Drug Authority regulations and other relevant laws and regulations </w:t>
            </w:r>
          </w:p>
          <w:p w14:paraId="15C68ECE" w14:textId="2921839B" w:rsidR="003B0E32" w:rsidRPr="003B0E32" w:rsidRDefault="003B0E32" w:rsidP="003B0E32">
            <w:pPr>
              <w:pStyle w:val="ListParagraph"/>
              <w:numPr>
                <w:ilvl w:val="1"/>
                <w:numId w:val="27"/>
              </w:numPr>
              <w:tabs>
                <w:tab w:val="left" w:pos="9612"/>
              </w:tabs>
              <w:ind w:right="297"/>
              <w:jc w:val="both"/>
              <w:rPr>
                <w:bCs/>
                <w:sz w:val="24"/>
                <w:szCs w:val="24"/>
              </w:rPr>
            </w:pPr>
            <w:r w:rsidRPr="003B0E32">
              <w:rPr>
                <w:sz w:val="23"/>
                <w:szCs w:val="23"/>
              </w:rPr>
              <w:t xml:space="preserve">The PELI-IRB adheres to national and international ethical standards and recognizes that the protocols it approves may also be approved by national and/or local ethics committees prior to their implementation in specific localities. </w:t>
            </w:r>
          </w:p>
          <w:p w14:paraId="7D613BDD" w14:textId="77777777" w:rsidR="003B0E32" w:rsidRPr="003B0E32" w:rsidRDefault="003B0E32" w:rsidP="003B0E32">
            <w:pPr>
              <w:tabs>
                <w:tab w:val="left" w:pos="9612"/>
              </w:tabs>
              <w:ind w:right="297"/>
              <w:jc w:val="both"/>
              <w:rPr>
                <w:sz w:val="23"/>
                <w:szCs w:val="23"/>
              </w:rPr>
            </w:pPr>
            <w:r w:rsidRPr="003B0E32">
              <w:rPr>
                <w:sz w:val="23"/>
                <w:szCs w:val="23"/>
              </w:rPr>
              <w:t xml:space="preserve">1.5 In evaluating protocols and ethical issues, the IRB is cognizant of the diversity of laws, cultures, and practices governing health research in various countries around the world. </w:t>
            </w:r>
          </w:p>
          <w:p w14:paraId="164294FC" w14:textId="77777777" w:rsidR="003B0E32" w:rsidRPr="003B0E32" w:rsidRDefault="003B0E32" w:rsidP="003B0E32">
            <w:pPr>
              <w:tabs>
                <w:tab w:val="left" w:pos="9612"/>
              </w:tabs>
              <w:ind w:right="297"/>
              <w:jc w:val="both"/>
              <w:rPr>
                <w:sz w:val="23"/>
                <w:szCs w:val="23"/>
              </w:rPr>
            </w:pPr>
            <w:r w:rsidRPr="003B0E32">
              <w:rPr>
                <w:sz w:val="23"/>
                <w:szCs w:val="23"/>
              </w:rPr>
              <w:t xml:space="preserve">1.6 In attempts to inform itself, whenever possible, of the regulations and requirements of sponsor countries conducting global protocols in the Philippines; and of the requirements and conditions of various localities where a proposed PELI research is being considered. </w:t>
            </w:r>
          </w:p>
          <w:p w14:paraId="3153D985" w14:textId="69EF91AF" w:rsidR="003B0E32" w:rsidRDefault="003B0E32" w:rsidP="003B0E32">
            <w:pPr>
              <w:tabs>
                <w:tab w:val="left" w:pos="9612"/>
              </w:tabs>
              <w:ind w:right="297"/>
              <w:jc w:val="both"/>
              <w:rPr>
                <w:sz w:val="23"/>
                <w:szCs w:val="23"/>
              </w:rPr>
            </w:pPr>
            <w:r w:rsidRPr="003B0E32">
              <w:rPr>
                <w:sz w:val="23"/>
                <w:szCs w:val="23"/>
              </w:rPr>
              <w:t xml:space="preserve">1.7 The PELI-IRB will take the initiative to be informed, as appropriate, by national/local ethics committees and researches of the impact of the research it approved. </w:t>
            </w:r>
          </w:p>
          <w:p w14:paraId="47E2C1C0" w14:textId="3712E8F3" w:rsidR="003B0E32" w:rsidRPr="007772CE" w:rsidRDefault="003B0E32" w:rsidP="003B0E32">
            <w:pPr>
              <w:tabs>
                <w:tab w:val="left" w:pos="9612"/>
              </w:tabs>
              <w:ind w:right="297"/>
              <w:jc w:val="both"/>
              <w:rPr>
                <w:bCs/>
              </w:rPr>
            </w:pPr>
          </w:p>
        </w:tc>
      </w:tr>
      <w:tr w:rsidR="003B0E32" w:rsidRPr="007772CE" w14:paraId="23E6981F" w14:textId="77777777" w:rsidTr="007772CE">
        <w:tc>
          <w:tcPr>
            <w:tcW w:w="10575" w:type="dxa"/>
            <w:shd w:val="clear" w:color="auto" w:fill="DDD9C3" w:themeFill="background2" w:themeFillShade="E6"/>
          </w:tcPr>
          <w:p w14:paraId="7ECD4540" w14:textId="6B7F969B" w:rsidR="003B0E32" w:rsidRPr="007772CE" w:rsidRDefault="003B0E32" w:rsidP="003B0E32">
            <w:pPr>
              <w:tabs>
                <w:tab w:val="left" w:pos="9612"/>
              </w:tabs>
              <w:ind w:right="297"/>
              <w:jc w:val="both"/>
              <w:rPr>
                <w:bCs/>
              </w:rPr>
            </w:pPr>
          </w:p>
        </w:tc>
      </w:tr>
    </w:tbl>
    <w:p w14:paraId="3E98F7D9" w14:textId="77777777" w:rsidR="0040388F" w:rsidRDefault="00865F8F" w:rsidP="0040388F">
      <w:pPr>
        <w:jc w:val="both"/>
      </w:pPr>
      <w:r>
        <w:t xml:space="preserve">I also agree </w:t>
      </w:r>
      <w:r w:rsidRPr="0040388F">
        <w:t>to provide the necessary environment to ensure safe and ethical conduct of the research, including oversight and stewardship functions</w:t>
      </w:r>
      <w:r>
        <w:t xml:space="preserve"> and to have</w:t>
      </w:r>
      <w:r w:rsidRPr="0040388F">
        <w:t xml:space="preserve"> </w:t>
      </w:r>
      <w:r>
        <w:t>the PELI-IRB</w:t>
      </w:r>
      <w:r w:rsidRPr="0040388F">
        <w:t xml:space="preserve"> </w:t>
      </w:r>
      <w:r>
        <w:t>monitor the conduct of study, once approved, as they</w:t>
      </w:r>
      <w:r w:rsidRPr="0040388F">
        <w:t xml:space="preserve"> </w:t>
      </w:r>
      <w:r w:rsidR="0040388F" w:rsidRPr="0040388F">
        <w:t xml:space="preserve">deem necessary. </w:t>
      </w:r>
    </w:p>
    <w:p w14:paraId="0D691E65" w14:textId="77777777" w:rsidR="001E4BE1" w:rsidRDefault="001E4BE1" w:rsidP="0040388F">
      <w:pPr>
        <w:jc w:val="both"/>
      </w:pPr>
    </w:p>
    <w:p w14:paraId="14BFC503" w14:textId="77777777" w:rsidR="007772CE" w:rsidRDefault="007772CE" w:rsidP="0040388F">
      <w:pPr>
        <w:jc w:val="both"/>
      </w:pPr>
    </w:p>
    <w:p w14:paraId="1BF5C009" w14:textId="77777777" w:rsidR="001E4BE1" w:rsidRDefault="001E4BE1" w:rsidP="0040388F">
      <w:pPr>
        <w:jc w:val="both"/>
      </w:pPr>
      <w:r>
        <w:t>_________________________</w:t>
      </w:r>
      <w:r>
        <w:tab/>
      </w:r>
      <w:r>
        <w:tab/>
        <w:t>______________</w:t>
      </w:r>
      <w:r>
        <w:tab/>
      </w:r>
      <w:r>
        <w:tab/>
      </w:r>
    </w:p>
    <w:p w14:paraId="3DD4D8BC" w14:textId="77777777" w:rsidR="001E4BE1" w:rsidRDefault="001E4BE1" w:rsidP="0040388F">
      <w:pPr>
        <w:jc w:val="both"/>
      </w:pPr>
      <w:r>
        <w:t>Signature over Printed Name</w:t>
      </w:r>
      <w:r>
        <w:tab/>
      </w:r>
      <w:r>
        <w:tab/>
      </w:r>
      <w:r>
        <w:tab/>
      </w:r>
      <w:r>
        <w:tab/>
        <w:t>Date</w:t>
      </w:r>
    </w:p>
    <w:p w14:paraId="298B785E" w14:textId="77777777" w:rsidR="001E4BE1" w:rsidRDefault="001E4BE1" w:rsidP="0040388F">
      <w:pPr>
        <w:jc w:val="both"/>
      </w:pPr>
    </w:p>
    <w:p w14:paraId="66958058" w14:textId="77777777" w:rsidR="001E4BE1" w:rsidRDefault="001E4BE1" w:rsidP="0040388F">
      <w:pPr>
        <w:jc w:val="both"/>
      </w:pPr>
    </w:p>
    <w:sectPr w:rsidR="001E4BE1" w:rsidSect="00430C25">
      <w:headerReference w:type="default" r:id="rId8"/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C3B1" w14:textId="77777777" w:rsidR="000C2B8D" w:rsidRDefault="000C2B8D" w:rsidP="00423C44">
      <w:r>
        <w:separator/>
      </w:r>
    </w:p>
  </w:endnote>
  <w:endnote w:type="continuationSeparator" w:id="0">
    <w:p w14:paraId="7074F5A1" w14:textId="77777777" w:rsidR="000C2B8D" w:rsidRDefault="000C2B8D" w:rsidP="004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A1A59" w14:textId="77777777" w:rsidR="00865F8F" w:rsidRDefault="00865F8F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7772CE" w:rsidRPr="007772CE">
      <w:rPr>
        <w:b/>
        <w:noProof/>
      </w:rPr>
      <w:t>1</w:t>
    </w:r>
    <w:r>
      <w:rPr>
        <w:b/>
        <w:noProof/>
      </w:rPr>
      <w:fldChar w:fldCharType="end"/>
    </w:r>
    <w:r>
      <w:rPr>
        <w:b/>
      </w:rPr>
      <w:t xml:space="preserve"> | </w:t>
    </w:r>
    <w:r>
      <w:rPr>
        <w:color w:val="7F7F7F"/>
        <w:spacing w:val="60"/>
      </w:rPr>
      <w:t>Page</w:t>
    </w:r>
  </w:p>
  <w:p w14:paraId="1A41B4E8" w14:textId="77777777" w:rsidR="00865F8F" w:rsidRDefault="00865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C54C" w14:textId="77777777" w:rsidR="000C2B8D" w:rsidRDefault="000C2B8D" w:rsidP="00423C44">
      <w:r>
        <w:separator/>
      </w:r>
    </w:p>
  </w:footnote>
  <w:footnote w:type="continuationSeparator" w:id="0">
    <w:p w14:paraId="3CEFA784" w14:textId="77777777" w:rsidR="000C2B8D" w:rsidRDefault="000C2B8D" w:rsidP="0042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122E" w14:textId="605CDB6F" w:rsidR="00865F8F" w:rsidRPr="00423C44" w:rsidRDefault="00865F8F" w:rsidP="00423C44">
    <w:pPr>
      <w:pStyle w:val="Header"/>
      <w:tabs>
        <w:tab w:val="clear" w:pos="4680"/>
        <w:tab w:val="clear" w:pos="9360"/>
        <w:tab w:val="center" w:pos="5400"/>
      </w:tabs>
      <w:rPr>
        <w:sz w:val="22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670AE45" wp14:editId="6BDA7537">
          <wp:simplePos x="0" y="0"/>
          <wp:positionH relativeFrom="column">
            <wp:posOffset>-335603</wp:posOffset>
          </wp:positionH>
          <wp:positionV relativeFrom="paragraph">
            <wp:posOffset>-337275</wp:posOffset>
          </wp:positionV>
          <wp:extent cx="2303252" cy="1238483"/>
          <wp:effectExtent l="0" t="0" r="190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64" r="54961"/>
                  <a:stretch/>
                </pic:blipFill>
                <pic:spPr bwMode="auto">
                  <a:xfrm>
                    <a:off x="0" y="0"/>
                    <a:ext cx="2303252" cy="12384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</w:rPr>
      <w:t xml:space="preserve"> [Type </w:t>
    </w:r>
    <w:r>
      <w:rPr>
        <w:sz w:val="22"/>
      </w:rPr>
      <w:tab/>
    </w:r>
    <w:r w:rsidRPr="00423C44">
      <w:rPr>
        <w:sz w:val="22"/>
      </w:rPr>
      <w:t>P</w:t>
    </w:r>
    <w:r>
      <w:rPr>
        <w:sz w:val="22"/>
      </w:rPr>
      <w:t>EREGRINE</w:t>
    </w:r>
    <w:r w:rsidRPr="00423C44">
      <w:rPr>
        <w:sz w:val="22"/>
      </w:rPr>
      <w:t xml:space="preserve"> </w:t>
    </w:r>
    <w:r>
      <w:rPr>
        <w:sz w:val="22"/>
      </w:rPr>
      <w:t>EYE AND LASER INSTITUTE-</w:t>
    </w:r>
    <w:r>
      <w:rPr>
        <w:sz w:val="22"/>
      </w:rPr>
      <w:tab/>
    </w:r>
    <w:proofErr w:type="gramStart"/>
    <w:r>
      <w:rPr>
        <w:sz w:val="22"/>
      </w:rPr>
      <w:tab/>
      <w:t xml:space="preserve">  </w:t>
    </w:r>
    <w:r w:rsidR="003B0E32">
      <w:rPr>
        <w:sz w:val="22"/>
      </w:rPr>
      <w:t>04</w:t>
    </w:r>
    <w:proofErr w:type="gramEnd"/>
    <w:r w:rsidR="003B0E32">
      <w:rPr>
        <w:sz w:val="22"/>
      </w:rPr>
      <w:t>/01-2026</w:t>
    </w:r>
  </w:p>
  <w:p w14:paraId="75F262EC" w14:textId="77777777" w:rsidR="00865F8F" w:rsidRPr="00423C44" w:rsidRDefault="00865F8F" w:rsidP="00423C44">
    <w:pPr>
      <w:pStyle w:val="Header"/>
      <w:tabs>
        <w:tab w:val="clear" w:pos="4680"/>
        <w:tab w:val="clear" w:pos="9360"/>
        <w:tab w:val="right" w:pos="10800"/>
      </w:tabs>
      <w:jc w:val="center"/>
      <w:rPr>
        <w:sz w:val="22"/>
      </w:rPr>
    </w:pPr>
    <w:r w:rsidRPr="00423C44">
      <w:rPr>
        <w:sz w:val="22"/>
      </w:rPr>
      <w:t xml:space="preserve">                         </w:t>
    </w:r>
    <w:r>
      <w:rPr>
        <w:sz w:val="22"/>
      </w:rPr>
      <w:t xml:space="preserve">                               INSTITUTIONAL REVIEW BOARD                           </w:t>
    </w:r>
    <w:r w:rsidRPr="00423C44">
      <w:rPr>
        <w:sz w:val="22"/>
      </w:rPr>
      <w:t>Effective Date:</w:t>
    </w:r>
  </w:p>
  <w:p w14:paraId="6EC9ED5F" w14:textId="789EBE4B" w:rsidR="00865F8F" w:rsidRPr="00423C44" w:rsidRDefault="00865F8F" w:rsidP="00423C44">
    <w:pPr>
      <w:pStyle w:val="Header"/>
      <w:rPr>
        <w:sz w:val="22"/>
      </w:rPr>
    </w:pPr>
    <w:r>
      <w:rPr>
        <w:sz w:val="22"/>
      </w:rPr>
      <w:t xml:space="preserve">                                                          </w:t>
    </w:r>
    <w:r>
      <w:rPr>
        <w:sz w:val="22"/>
      </w:rPr>
      <w:tab/>
      <w:t xml:space="preserve">            Form </w:t>
    </w:r>
    <w:r w:rsidR="003B0E32">
      <w:rPr>
        <w:sz w:val="22"/>
      </w:rPr>
      <w:t>4</w:t>
    </w:r>
    <w:r>
      <w:rPr>
        <w:sz w:val="22"/>
      </w:rPr>
      <w:t xml:space="preserve">.10 </w:t>
    </w:r>
    <w:r>
      <w:rPr>
        <w:b/>
        <w:sz w:val="22"/>
      </w:rPr>
      <w:t xml:space="preserve">Letter of Undertaking </w:t>
    </w:r>
    <w:r w:rsidRPr="00423C44">
      <w:rPr>
        <w:sz w:val="22"/>
      </w:rPr>
      <w:t xml:space="preserve">    </w:t>
    </w:r>
    <w:r>
      <w:rPr>
        <w:sz w:val="22"/>
      </w:rPr>
      <w:t xml:space="preserve">              </w:t>
    </w:r>
    <w:r w:rsidRPr="00423C44">
      <w:rPr>
        <w:sz w:val="22"/>
      </w:rPr>
      <w:t xml:space="preserve">    </w:t>
    </w:r>
    <w:r>
      <w:rPr>
        <w:sz w:val="22"/>
      </w:rPr>
      <w:t xml:space="preserve">          </w:t>
    </w:r>
    <w:r w:rsidR="003B0E32">
      <w:rPr>
        <w:sz w:val="22"/>
      </w:rPr>
      <w:t>March 9, 2026</w:t>
    </w:r>
  </w:p>
  <w:p w14:paraId="53A4363E" w14:textId="77777777" w:rsidR="00865F8F" w:rsidRDefault="00865F8F" w:rsidP="00423C44">
    <w:pPr>
      <w:pStyle w:val="Header"/>
      <w:jc w:val="center"/>
    </w:pPr>
    <w: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401"/>
    <w:multiLevelType w:val="hybridMultilevel"/>
    <w:tmpl w:val="DCDCA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373C4E"/>
    <w:multiLevelType w:val="hybridMultilevel"/>
    <w:tmpl w:val="66F42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652FF4"/>
    <w:multiLevelType w:val="hybridMultilevel"/>
    <w:tmpl w:val="B0FE7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837B15"/>
    <w:multiLevelType w:val="hybridMultilevel"/>
    <w:tmpl w:val="3252E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B612B5"/>
    <w:multiLevelType w:val="hybridMultilevel"/>
    <w:tmpl w:val="CDB29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BB6015"/>
    <w:multiLevelType w:val="hybridMultilevel"/>
    <w:tmpl w:val="8DFA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100379"/>
    <w:multiLevelType w:val="hybridMultilevel"/>
    <w:tmpl w:val="DCD09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EE5CA2"/>
    <w:multiLevelType w:val="hybridMultilevel"/>
    <w:tmpl w:val="EBF6F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931558"/>
    <w:multiLevelType w:val="hybridMultilevel"/>
    <w:tmpl w:val="1A1AC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56249C"/>
    <w:multiLevelType w:val="multilevel"/>
    <w:tmpl w:val="7260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A404A"/>
    <w:multiLevelType w:val="hybridMultilevel"/>
    <w:tmpl w:val="14346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1C211B"/>
    <w:multiLevelType w:val="hybridMultilevel"/>
    <w:tmpl w:val="9BB6F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140FF5"/>
    <w:multiLevelType w:val="hybridMultilevel"/>
    <w:tmpl w:val="DF48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829D2"/>
    <w:multiLevelType w:val="hybridMultilevel"/>
    <w:tmpl w:val="54525C2C"/>
    <w:lvl w:ilvl="0" w:tplc="21EA6FA8">
      <w:start w:val="1"/>
      <w:numFmt w:val="bullet"/>
      <w:suff w:val="spa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753261AE">
      <w:start w:val="1"/>
      <w:numFmt w:val="bullet"/>
      <w:suff w:val="space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B715A98"/>
    <w:multiLevelType w:val="hybridMultilevel"/>
    <w:tmpl w:val="9188A67C"/>
    <w:lvl w:ilvl="0" w:tplc="92A8DCAE">
      <w:start w:val="1"/>
      <w:numFmt w:val="bullet"/>
      <w:suff w:val="spa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DBA7D3F"/>
    <w:multiLevelType w:val="hybridMultilevel"/>
    <w:tmpl w:val="442EE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286C10"/>
    <w:multiLevelType w:val="hybridMultilevel"/>
    <w:tmpl w:val="D388B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AF5701"/>
    <w:multiLevelType w:val="multilevel"/>
    <w:tmpl w:val="F006DB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9A1143E"/>
    <w:multiLevelType w:val="hybridMultilevel"/>
    <w:tmpl w:val="6FA0D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0B5064"/>
    <w:multiLevelType w:val="multilevel"/>
    <w:tmpl w:val="B268D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5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3815DC8"/>
    <w:multiLevelType w:val="hybridMultilevel"/>
    <w:tmpl w:val="0F6C1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980F64"/>
    <w:multiLevelType w:val="hybridMultilevel"/>
    <w:tmpl w:val="AA0C2650"/>
    <w:lvl w:ilvl="0" w:tplc="753261AE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6060C8F"/>
    <w:multiLevelType w:val="hybridMultilevel"/>
    <w:tmpl w:val="EAEAC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997B81"/>
    <w:multiLevelType w:val="hybridMultilevel"/>
    <w:tmpl w:val="A5CAE8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9422B75"/>
    <w:multiLevelType w:val="hybridMultilevel"/>
    <w:tmpl w:val="BE902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7B3213"/>
    <w:multiLevelType w:val="multilevel"/>
    <w:tmpl w:val="81866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9DC36E2"/>
    <w:multiLevelType w:val="hybridMultilevel"/>
    <w:tmpl w:val="976C7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2460991">
    <w:abstractNumId w:val="19"/>
  </w:num>
  <w:num w:numId="2" w16cid:durableId="320740040">
    <w:abstractNumId w:val="11"/>
  </w:num>
  <w:num w:numId="3" w16cid:durableId="389574602">
    <w:abstractNumId w:val="26"/>
  </w:num>
  <w:num w:numId="4" w16cid:durableId="414324033">
    <w:abstractNumId w:val="13"/>
  </w:num>
  <w:num w:numId="5" w16cid:durableId="2130660020">
    <w:abstractNumId w:val="21"/>
  </w:num>
  <w:num w:numId="6" w16cid:durableId="1272587437">
    <w:abstractNumId w:val="14"/>
  </w:num>
  <w:num w:numId="7" w16cid:durableId="1729065210">
    <w:abstractNumId w:val="15"/>
  </w:num>
  <w:num w:numId="8" w16cid:durableId="2007056013">
    <w:abstractNumId w:val="7"/>
  </w:num>
  <w:num w:numId="9" w16cid:durableId="2066373575">
    <w:abstractNumId w:val="22"/>
  </w:num>
  <w:num w:numId="10" w16cid:durableId="1555383028">
    <w:abstractNumId w:val="18"/>
  </w:num>
  <w:num w:numId="11" w16cid:durableId="1410032074">
    <w:abstractNumId w:val="3"/>
  </w:num>
  <w:num w:numId="12" w16cid:durableId="2069960014">
    <w:abstractNumId w:val="23"/>
  </w:num>
  <w:num w:numId="13" w16cid:durableId="330985907">
    <w:abstractNumId w:val="12"/>
  </w:num>
  <w:num w:numId="14" w16cid:durableId="673652104">
    <w:abstractNumId w:val="20"/>
  </w:num>
  <w:num w:numId="15" w16cid:durableId="1383478884">
    <w:abstractNumId w:val="6"/>
  </w:num>
  <w:num w:numId="16" w16cid:durableId="2051371251">
    <w:abstractNumId w:val="2"/>
  </w:num>
  <w:num w:numId="17" w16cid:durableId="429594468">
    <w:abstractNumId w:val="16"/>
  </w:num>
  <w:num w:numId="18" w16cid:durableId="2080858741">
    <w:abstractNumId w:val="5"/>
  </w:num>
  <w:num w:numId="19" w16cid:durableId="91361898">
    <w:abstractNumId w:val="0"/>
  </w:num>
  <w:num w:numId="20" w16cid:durableId="359668418">
    <w:abstractNumId w:val="4"/>
  </w:num>
  <w:num w:numId="21" w16cid:durableId="1367146970">
    <w:abstractNumId w:val="8"/>
  </w:num>
  <w:num w:numId="22" w16cid:durableId="295182872">
    <w:abstractNumId w:val="25"/>
  </w:num>
  <w:num w:numId="23" w16cid:durableId="1879900778">
    <w:abstractNumId w:val="10"/>
  </w:num>
  <w:num w:numId="24" w16cid:durableId="1112164801">
    <w:abstractNumId w:val="1"/>
  </w:num>
  <w:num w:numId="25" w16cid:durableId="1511601768">
    <w:abstractNumId w:val="24"/>
  </w:num>
  <w:num w:numId="26" w16cid:durableId="1636716715">
    <w:abstractNumId w:val="9"/>
  </w:num>
  <w:num w:numId="27" w16cid:durableId="1384981928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467"/>
    <w:rsid w:val="00012E70"/>
    <w:rsid w:val="0005396B"/>
    <w:rsid w:val="0007216B"/>
    <w:rsid w:val="0007519E"/>
    <w:rsid w:val="0008065B"/>
    <w:rsid w:val="00094036"/>
    <w:rsid w:val="000A0DAE"/>
    <w:rsid w:val="000A65D4"/>
    <w:rsid w:val="000B2BEE"/>
    <w:rsid w:val="000B709C"/>
    <w:rsid w:val="000C2B8D"/>
    <w:rsid w:val="000E26E3"/>
    <w:rsid w:val="000E5B89"/>
    <w:rsid w:val="000E7053"/>
    <w:rsid w:val="000F0965"/>
    <w:rsid w:val="000F55D7"/>
    <w:rsid w:val="00142B21"/>
    <w:rsid w:val="00146BE6"/>
    <w:rsid w:val="0015279A"/>
    <w:rsid w:val="00154720"/>
    <w:rsid w:val="0016755F"/>
    <w:rsid w:val="00170437"/>
    <w:rsid w:val="001759A9"/>
    <w:rsid w:val="001C6EB7"/>
    <w:rsid w:val="001E4BE1"/>
    <w:rsid w:val="00227D4E"/>
    <w:rsid w:val="00253898"/>
    <w:rsid w:val="00270861"/>
    <w:rsid w:val="00291FA6"/>
    <w:rsid w:val="002E0C0B"/>
    <w:rsid w:val="002F096B"/>
    <w:rsid w:val="00322D9E"/>
    <w:rsid w:val="003311E5"/>
    <w:rsid w:val="00370541"/>
    <w:rsid w:val="00375823"/>
    <w:rsid w:val="003779A0"/>
    <w:rsid w:val="003909D1"/>
    <w:rsid w:val="003A3E10"/>
    <w:rsid w:val="003B0E32"/>
    <w:rsid w:val="003E1FAA"/>
    <w:rsid w:val="003E37AA"/>
    <w:rsid w:val="003E7585"/>
    <w:rsid w:val="003E7D7E"/>
    <w:rsid w:val="00400FB2"/>
    <w:rsid w:val="0040388F"/>
    <w:rsid w:val="0040462A"/>
    <w:rsid w:val="00415467"/>
    <w:rsid w:val="00423C44"/>
    <w:rsid w:val="00430545"/>
    <w:rsid w:val="00430C25"/>
    <w:rsid w:val="00431CBD"/>
    <w:rsid w:val="00432978"/>
    <w:rsid w:val="004447B7"/>
    <w:rsid w:val="004633A4"/>
    <w:rsid w:val="00466FF5"/>
    <w:rsid w:val="004916DD"/>
    <w:rsid w:val="004C312A"/>
    <w:rsid w:val="004D20F0"/>
    <w:rsid w:val="0053450A"/>
    <w:rsid w:val="00577FB5"/>
    <w:rsid w:val="00584A50"/>
    <w:rsid w:val="005A44AB"/>
    <w:rsid w:val="005B1DD5"/>
    <w:rsid w:val="005F3701"/>
    <w:rsid w:val="005F72E4"/>
    <w:rsid w:val="005F7F58"/>
    <w:rsid w:val="0061472F"/>
    <w:rsid w:val="00653097"/>
    <w:rsid w:val="006770AC"/>
    <w:rsid w:val="006F513F"/>
    <w:rsid w:val="006F528F"/>
    <w:rsid w:val="007329F4"/>
    <w:rsid w:val="00737631"/>
    <w:rsid w:val="00752430"/>
    <w:rsid w:val="00754570"/>
    <w:rsid w:val="00766DAE"/>
    <w:rsid w:val="00767D17"/>
    <w:rsid w:val="007772CE"/>
    <w:rsid w:val="00780D6E"/>
    <w:rsid w:val="00784FC1"/>
    <w:rsid w:val="007A4AFC"/>
    <w:rsid w:val="007B049C"/>
    <w:rsid w:val="007F05E9"/>
    <w:rsid w:val="007F364F"/>
    <w:rsid w:val="00823089"/>
    <w:rsid w:val="00865F8F"/>
    <w:rsid w:val="00872D7D"/>
    <w:rsid w:val="008759BA"/>
    <w:rsid w:val="00882C26"/>
    <w:rsid w:val="008A31EA"/>
    <w:rsid w:val="008A6987"/>
    <w:rsid w:val="008E22C3"/>
    <w:rsid w:val="00937ADD"/>
    <w:rsid w:val="0096653E"/>
    <w:rsid w:val="00967F8B"/>
    <w:rsid w:val="00986B57"/>
    <w:rsid w:val="009B6A48"/>
    <w:rsid w:val="00A020FE"/>
    <w:rsid w:val="00A75EEC"/>
    <w:rsid w:val="00AC5297"/>
    <w:rsid w:val="00B17F06"/>
    <w:rsid w:val="00B24B2F"/>
    <w:rsid w:val="00B34707"/>
    <w:rsid w:val="00B65A91"/>
    <w:rsid w:val="00B74840"/>
    <w:rsid w:val="00B854F4"/>
    <w:rsid w:val="00B970E3"/>
    <w:rsid w:val="00BA68A1"/>
    <w:rsid w:val="00C153EB"/>
    <w:rsid w:val="00C26663"/>
    <w:rsid w:val="00C271F0"/>
    <w:rsid w:val="00C33142"/>
    <w:rsid w:val="00C46AFA"/>
    <w:rsid w:val="00C52DF8"/>
    <w:rsid w:val="00C54331"/>
    <w:rsid w:val="00C85EA3"/>
    <w:rsid w:val="00CC28AD"/>
    <w:rsid w:val="00CC5318"/>
    <w:rsid w:val="00CD4353"/>
    <w:rsid w:val="00D077E5"/>
    <w:rsid w:val="00D45A05"/>
    <w:rsid w:val="00D675C2"/>
    <w:rsid w:val="00DD4280"/>
    <w:rsid w:val="00DF07BC"/>
    <w:rsid w:val="00E12924"/>
    <w:rsid w:val="00E248BD"/>
    <w:rsid w:val="00E343F5"/>
    <w:rsid w:val="00E54F7B"/>
    <w:rsid w:val="00E66B21"/>
    <w:rsid w:val="00E730B4"/>
    <w:rsid w:val="00E87F3F"/>
    <w:rsid w:val="00E95086"/>
    <w:rsid w:val="00EB307C"/>
    <w:rsid w:val="00EC55A7"/>
    <w:rsid w:val="00ED7FBB"/>
    <w:rsid w:val="00F05728"/>
    <w:rsid w:val="00F45313"/>
    <w:rsid w:val="00FA0825"/>
    <w:rsid w:val="00FA6C95"/>
    <w:rsid w:val="00FB19B9"/>
    <w:rsid w:val="00FD0304"/>
    <w:rsid w:val="00FF6233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80B25"/>
  <w15:docId w15:val="{1E981398-18D5-4235-B2A8-C705D90E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6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5467"/>
    <w:pPr>
      <w:keepNext/>
      <w:outlineLvl w:val="0"/>
    </w:pPr>
    <w:rPr>
      <w:rFonts w:ascii="Courier New" w:hAnsi="Courier New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415467"/>
    <w:pPr>
      <w:keepNext/>
      <w:outlineLvl w:val="1"/>
    </w:pPr>
    <w:rPr>
      <w:rFonts w:ascii="Courier New" w:hAnsi="Courier New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qFormat/>
    <w:rsid w:val="0041546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415467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415467"/>
    <w:pPr>
      <w:keepNext/>
      <w:jc w:val="both"/>
      <w:outlineLvl w:val="4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15467"/>
    <w:rPr>
      <w:rFonts w:ascii="Courier New" w:eastAsia="Times New Roman" w:hAnsi="Courier New" w:cs="Courier New"/>
      <w:b/>
      <w:bCs/>
      <w:sz w:val="20"/>
      <w:szCs w:val="24"/>
    </w:rPr>
  </w:style>
  <w:style w:type="character" w:customStyle="1" w:styleId="Heading2Char">
    <w:name w:val="Heading 2 Char"/>
    <w:link w:val="Heading2"/>
    <w:rsid w:val="00415467"/>
    <w:rPr>
      <w:rFonts w:ascii="Courier New" w:eastAsia="Times New Roman" w:hAnsi="Courier New" w:cs="Courier New"/>
      <w:b/>
      <w:bCs/>
      <w:i/>
      <w:iCs/>
      <w:sz w:val="20"/>
      <w:szCs w:val="24"/>
    </w:rPr>
  </w:style>
  <w:style w:type="character" w:customStyle="1" w:styleId="Heading3Char">
    <w:name w:val="Heading 3 Char"/>
    <w:link w:val="Heading3"/>
    <w:rsid w:val="00415467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4Char">
    <w:name w:val="Heading 4 Char"/>
    <w:link w:val="Heading4"/>
    <w:rsid w:val="004154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link w:val="Heading5"/>
    <w:rsid w:val="00415467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415467"/>
    <w:pPr>
      <w:spacing w:before="100" w:beforeAutospacing="1" w:after="100" w:afterAutospacing="1"/>
    </w:pPr>
    <w:rPr>
      <w:rFonts w:ascii="Arial Unicode MS" w:cs="Arial Unicode MS"/>
    </w:rPr>
  </w:style>
  <w:style w:type="paragraph" w:styleId="Title">
    <w:name w:val="Title"/>
    <w:basedOn w:val="Normal"/>
    <w:link w:val="TitleChar"/>
    <w:qFormat/>
    <w:rsid w:val="00415467"/>
    <w:pPr>
      <w:jc w:val="center"/>
    </w:pPr>
    <w:rPr>
      <w:rFonts w:ascii="Courier New" w:hAnsi="Courier New"/>
      <w:b/>
      <w:bCs/>
      <w:sz w:val="20"/>
      <w:u w:val="single"/>
    </w:rPr>
  </w:style>
  <w:style w:type="character" w:customStyle="1" w:styleId="TitleChar">
    <w:name w:val="Title Char"/>
    <w:link w:val="Title"/>
    <w:rsid w:val="00415467"/>
    <w:rPr>
      <w:rFonts w:ascii="Courier New" w:eastAsia="Times New Roman" w:hAnsi="Courier New" w:cs="Courier New"/>
      <w:b/>
      <w:bCs/>
      <w:sz w:val="20"/>
      <w:szCs w:val="24"/>
      <w:u w:val="single"/>
    </w:rPr>
  </w:style>
  <w:style w:type="paragraph" w:styleId="BodyText">
    <w:name w:val="Body Text"/>
    <w:basedOn w:val="Normal"/>
    <w:link w:val="BodyTextChar"/>
    <w:rsid w:val="00415467"/>
    <w:rPr>
      <w:rFonts w:ascii="Courier New" w:hAnsi="Courier New"/>
      <w:sz w:val="20"/>
    </w:rPr>
  </w:style>
  <w:style w:type="character" w:customStyle="1" w:styleId="BodyTextChar">
    <w:name w:val="Body Text Char"/>
    <w:link w:val="BodyText"/>
    <w:rsid w:val="00415467"/>
    <w:rPr>
      <w:rFonts w:ascii="Courier New" w:eastAsia="Times New Roman" w:hAnsi="Courier New" w:cs="Courier New"/>
      <w:sz w:val="20"/>
      <w:szCs w:val="24"/>
    </w:rPr>
  </w:style>
  <w:style w:type="paragraph" w:styleId="BodyTextIndent">
    <w:name w:val="Body Text Indent"/>
    <w:basedOn w:val="Normal"/>
    <w:link w:val="BodyTextIndentChar"/>
    <w:rsid w:val="00415467"/>
    <w:pPr>
      <w:ind w:firstLine="720"/>
      <w:jc w:val="both"/>
    </w:pPr>
    <w:rPr>
      <w:rFonts w:ascii="Courier New" w:hAnsi="Courier New"/>
      <w:sz w:val="20"/>
    </w:rPr>
  </w:style>
  <w:style w:type="character" w:customStyle="1" w:styleId="BodyTextIndentChar">
    <w:name w:val="Body Text Indent Char"/>
    <w:link w:val="BodyTextIndent"/>
    <w:rsid w:val="00415467"/>
    <w:rPr>
      <w:rFonts w:ascii="Courier New" w:eastAsia="Times New Roman" w:hAnsi="Courier New" w:cs="Courier New"/>
      <w:sz w:val="20"/>
      <w:szCs w:val="24"/>
    </w:rPr>
  </w:style>
  <w:style w:type="paragraph" w:styleId="BodyTextIndent2">
    <w:name w:val="Body Text Indent 2"/>
    <w:basedOn w:val="Normal"/>
    <w:link w:val="BodyTextIndent2Char"/>
    <w:rsid w:val="00415467"/>
    <w:pPr>
      <w:ind w:firstLine="360"/>
      <w:jc w:val="both"/>
    </w:pPr>
    <w:rPr>
      <w:rFonts w:ascii="Courier New" w:hAnsi="Courier New"/>
      <w:sz w:val="20"/>
    </w:rPr>
  </w:style>
  <w:style w:type="character" w:customStyle="1" w:styleId="BodyTextIndent2Char">
    <w:name w:val="Body Text Indent 2 Char"/>
    <w:link w:val="BodyTextIndent2"/>
    <w:rsid w:val="00415467"/>
    <w:rPr>
      <w:rFonts w:ascii="Courier New" w:eastAsia="Times New Roman" w:hAnsi="Courier New" w:cs="Courier New"/>
      <w:sz w:val="20"/>
      <w:szCs w:val="24"/>
    </w:rPr>
  </w:style>
  <w:style w:type="paragraph" w:styleId="BodyTextIndent3">
    <w:name w:val="Body Text Indent 3"/>
    <w:basedOn w:val="Normal"/>
    <w:link w:val="BodyTextIndent3Char"/>
    <w:rsid w:val="00415467"/>
    <w:pPr>
      <w:ind w:left="720" w:firstLine="360"/>
    </w:pPr>
    <w:rPr>
      <w:rFonts w:ascii="Courier New" w:hAnsi="Courier New"/>
      <w:sz w:val="20"/>
    </w:rPr>
  </w:style>
  <w:style w:type="character" w:customStyle="1" w:styleId="BodyTextIndent3Char">
    <w:name w:val="Body Text Indent 3 Char"/>
    <w:link w:val="BodyTextIndent3"/>
    <w:rsid w:val="00415467"/>
    <w:rPr>
      <w:rFonts w:ascii="Courier New" w:eastAsia="Times New Roman" w:hAnsi="Courier New" w:cs="Courier New"/>
      <w:sz w:val="20"/>
      <w:szCs w:val="24"/>
    </w:rPr>
  </w:style>
  <w:style w:type="paragraph" w:customStyle="1" w:styleId="xl23">
    <w:name w:val="xl23"/>
    <w:basedOn w:val="Normal"/>
    <w:rsid w:val="00415467"/>
    <w:pPr>
      <w:spacing w:before="100" w:beforeAutospacing="1" w:after="100" w:afterAutospacing="1"/>
      <w:jc w:val="center"/>
    </w:pPr>
  </w:style>
  <w:style w:type="character" w:styleId="CommentReference">
    <w:name w:val="annotation reference"/>
    <w:uiPriority w:val="99"/>
    <w:semiHidden/>
    <w:unhideWhenUsed/>
    <w:rsid w:val="00C15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3E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3E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3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3E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3E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3EB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784FC1"/>
  </w:style>
  <w:style w:type="character" w:styleId="Hyperlink">
    <w:name w:val="Hyperlink"/>
    <w:uiPriority w:val="99"/>
    <w:unhideWhenUsed/>
    <w:rsid w:val="00227D4E"/>
    <w:rPr>
      <w:color w:val="0000FF"/>
      <w:u w:val="single"/>
    </w:rPr>
  </w:style>
  <w:style w:type="character" w:styleId="Strong">
    <w:name w:val="Strong"/>
    <w:uiPriority w:val="22"/>
    <w:qFormat/>
    <w:rsid w:val="00227D4E"/>
    <w:rPr>
      <w:b/>
      <w:bCs/>
    </w:rPr>
  </w:style>
  <w:style w:type="paragraph" w:styleId="NoSpacing">
    <w:name w:val="No Spacing"/>
    <w:uiPriority w:val="1"/>
    <w:qFormat/>
    <w:rsid w:val="00FA0825"/>
    <w:rPr>
      <w:rFonts w:ascii="Times New Roman" w:eastAsia="Times New Roman" w:hAnsi="Times New Roman"/>
      <w:sz w:val="24"/>
      <w:szCs w:val="24"/>
    </w:rPr>
  </w:style>
  <w:style w:type="character" w:customStyle="1" w:styleId="grame">
    <w:name w:val="grame"/>
    <w:rsid w:val="008E22C3"/>
  </w:style>
  <w:style w:type="character" w:customStyle="1" w:styleId="spelle">
    <w:name w:val="spelle"/>
    <w:rsid w:val="008E22C3"/>
  </w:style>
  <w:style w:type="paragraph" w:styleId="ListParagraph">
    <w:name w:val="List Paragraph"/>
    <w:basedOn w:val="Normal"/>
    <w:uiPriority w:val="34"/>
    <w:qFormat/>
    <w:rsid w:val="00A020FE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23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C4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3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C44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766D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766DA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766DA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66DA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766DA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766DA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766DA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MediumList21">
    <w:name w:val="Medium List 21"/>
    <w:basedOn w:val="TableNormal"/>
    <w:uiPriority w:val="66"/>
    <w:rsid w:val="00766DA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4046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325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62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74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1A7E0-EFB2-43B0-AB83-EDD8A689B606}"/>
      </w:docPartPr>
      <w:docPartBody>
        <w:p w:rsidR="00B860E3" w:rsidRDefault="00B860E3">
          <w:r w:rsidRPr="00845A4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0E3"/>
    <w:rsid w:val="003A5415"/>
    <w:rsid w:val="0061472F"/>
    <w:rsid w:val="00B8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60E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7F101-CF69-4199-BCE5-346AC451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CQ56</dc:creator>
  <cp:lastModifiedBy>Mai Tagra</cp:lastModifiedBy>
  <cp:revision>6</cp:revision>
  <cp:lastPrinted>2017-05-03T02:33:00Z</cp:lastPrinted>
  <dcterms:created xsi:type="dcterms:W3CDTF">2017-10-10T07:45:00Z</dcterms:created>
  <dcterms:modified xsi:type="dcterms:W3CDTF">2026-03-19T06:26:00Z</dcterms:modified>
</cp:coreProperties>
</file>